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586"/>
      </w:tblGrid>
      <w:tr w:rsidR="00B90FA6" w:rsidRPr="00B90FA6" w:rsidTr="00CD3595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90FA6" w:rsidRPr="00B90FA6" w:rsidRDefault="00B90FA6" w:rsidP="00B90F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lang w:eastAsia="ro-RO"/>
              </w:rPr>
            </w:pPr>
            <w:r w:rsidRPr="00B90FA6">
              <w:rPr>
                <w:rFonts w:ascii="Bookman Old Style" w:eastAsia="Times New Roman" w:hAnsi="Bookman Old Style" w:cs="Times New Roman"/>
                <w:noProof/>
                <w:sz w:val="24"/>
                <w:szCs w:val="20"/>
                <w:lang w:eastAsia="ro-RO"/>
              </w:rPr>
              <w:drawing>
                <wp:inline distT="0" distB="0" distL="0" distR="0" wp14:anchorId="7E56A508" wp14:editId="5D06295A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B90FA6" w:rsidRPr="00B90FA6" w:rsidRDefault="00B90FA6" w:rsidP="00B90FA6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</w:pPr>
            <w:r w:rsidRPr="00B90FA6"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  <w:t>ROMÂNIA</w:t>
            </w:r>
          </w:p>
          <w:p w:rsidR="00B90FA6" w:rsidRPr="00B90FA6" w:rsidRDefault="00B90FA6" w:rsidP="00B90FA6">
            <w:pPr>
              <w:widowControl w:val="0"/>
              <w:tabs>
                <w:tab w:val="left" w:pos="3393"/>
              </w:tabs>
              <w:spacing w:after="0" w:line="240" w:lineRule="auto"/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</w:pPr>
            <w:r w:rsidRPr="00B90FA6"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  <w:t>JUDEŢUL CLUJ</w:t>
            </w:r>
            <w:r w:rsidRPr="00B90FA6"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  <w:tab/>
            </w:r>
          </w:p>
          <w:p w:rsidR="00B90FA6" w:rsidRPr="00B90FA6" w:rsidRDefault="00B90FA6" w:rsidP="00B90FA6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</w:pPr>
            <w:r w:rsidRPr="00B90FA6"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  <w:t>MUNICIPIUL DEJ</w:t>
            </w:r>
          </w:p>
          <w:p w:rsidR="00B90FA6" w:rsidRPr="00B90FA6" w:rsidRDefault="00B90FA6" w:rsidP="00B90FA6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color w:val="000000"/>
                <w:sz w:val="20"/>
                <w:szCs w:val="24"/>
                <w:lang w:eastAsia="ro-RO"/>
              </w:rPr>
            </w:pPr>
            <w:r w:rsidRPr="00B90FA6">
              <w:rPr>
                <w:rFonts w:ascii="Verdana" w:eastAsia="Courier New" w:hAnsi="Verdana" w:cs="Courier New"/>
                <w:color w:val="000000"/>
                <w:sz w:val="20"/>
                <w:szCs w:val="24"/>
                <w:lang w:eastAsia="ro-RO"/>
              </w:rPr>
              <w:t xml:space="preserve">Str. 1 Mai nr. 2, Tel.: 0264/211790*, Fax 0264/223260, E-mail: </w:t>
            </w:r>
            <w:hyperlink r:id="rId6" w:history="1">
              <w:r w:rsidRPr="00B90FA6">
                <w:rPr>
                  <w:rFonts w:ascii="Verdana" w:eastAsia="Courier New" w:hAnsi="Verdana" w:cs="Courier New"/>
                  <w:color w:val="0066CC"/>
                  <w:sz w:val="20"/>
                  <w:szCs w:val="24"/>
                  <w:u w:val="single"/>
                  <w:lang w:eastAsia="ro-RO"/>
                </w:rPr>
                <w:t>primaria@dej.ro</w:t>
              </w:r>
            </w:hyperlink>
          </w:p>
        </w:tc>
      </w:tr>
    </w:tbl>
    <w:p w:rsidR="00B90FA6" w:rsidRPr="009B2563" w:rsidRDefault="00B90FA6" w:rsidP="00B90FA6">
      <w:pPr>
        <w:widowControl w:val="0"/>
        <w:tabs>
          <w:tab w:val="left" w:pos="4758"/>
        </w:tabs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 xml:space="preserve">  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APROBAT</w:t>
      </w:r>
    </w:p>
    <w:p w:rsidR="00B90FA6" w:rsidRPr="009B2563" w:rsidRDefault="00B90FA6" w:rsidP="00B90FA6">
      <w:pPr>
        <w:widowControl w:val="0"/>
        <w:tabs>
          <w:tab w:val="left" w:pos="4758"/>
        </w:tabs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ab/>
        <w:t xml:space="preserve">  PRIMAR</w:t>
      </w:r>
    </w:p>
    <w:p w:rsidR="00B90FA6" w:rsidRPr="009B2563" w:rsidRDefault="00B90FA6" w:rsidP="00B90FA6">
      <w:pPr>
        <w:widowControl w:val="0"/>
        <w:tabs>
          <w:tab w:val="left" w:pos="4758"/>
        </w:tabs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ab/>
        <w:t xml:space="preserve">ing. </w:t>
      </w:r>
      <w:proofErr w:type="spellStart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Costan</w:t>
      </w:r>
      <w:proofErr w:type="spellEnd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Morar</w:t>
      </w:r>
    </w:p>
    <w:p w:rsidR="00B90FA6" w:rsidRPr="009B2563" w:rsidRDefault="00B90FA6" w:rsidP="009B2563">
      <w:pPr>
        <w:widowControl w:val="0"/>
        <w:pBdr>
          <w:bottom w:val="single" w:sz="4" w:space="4" w:color="5B9BD5" w:themeColor="accent1"/>
        </w:pBdr>
        <w:spacing w:before="200" w:after="280" w:line="240" w:lineRule="auto"/>
        <w:ind w:right="936"/>
        <w:rPr>
          <w:rFonts w:ascii="Times New Roman" w:eastAsia="Courier New" w:hAnsi="Times New Roman" w:cs="Times New Roman"/>
          <w:b/>
          <w:bCs/>
          <w:i/>
          <w:iCs/>
          <w:color w:val="5B9BD5" w:themeColor="accent1"/>
          <w:sz w:val="24"/>
          <w:szCs w:val="24"/>
          <w:lang w:eastAsia="ro-RO"/>
        </w:rPr>
      </w:pPr>
      <w:r w:rsidRPr="009B2563">
        <w:rPr>
          <w:rFonts w:ascii="Times New Roman" w:eastAsia="Courier New" w:hAnsi="Times New Roman" w:cs="Times New Roman"/>
          <w:b/>
          <w:bCs/>
          <w:i/>
          <w:iCs/>
          <w:color w:val="5B9BD5" w:themeColor="accent1"/>
          <w:sz w:val="24"/>
          <w:szCs w:val="24"/>
          <w:lang w:eastAsia="ro-RO"/>
        </w:rPr>
        <w:t>An</w:t>
      </w:r>
      <w:r w:rsidR="009B2563" w:rsidRPr="009B2563">
        <w:rPr>
          <w:rFonts w:ascii="Times New Roman" w:eastAsia="Courier New" w:hAnsi="Times New Roman" w:cs="Times New Roman"/>
          <w:b/>
          <w:bCs/>
          <w:i/>
          <w:iCs/>
          <w:color w:val="5B9BD5" w:themeColor="accent1"/>
          <w:sz w:val="24"/>
          <w:szCs w:val="24"/>
          <w:lang w:eastAsia="ro-RO"/>
        </w:rPr>
        <w:t>exă la Hotărârea ___________2021</w:t>
      </w:r>
    </w:p>
    <w:p w:rsidR="009B2563" w:rsidRPr="009B2563" w:rsidRDefault="009B2563" w:rsidP="00B90FA6">
      <w:pPr>
        <w:widowControl w:val="0"/>
        <w:spacing w:after="155" w:line="180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</w:p>
    <w:p w:rsidR="00B90FA6" w:rsidRPr="009B2563" w:rsidRDefault="00B90FA6" w:rsidP="00B90FA6">
      <w:pPr>
        <w:widowControl w:val="0"/>
        <w:spacing w:after="155" w:line="180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PROCEDURA</w:t>
      </w:r>
    </w:p>
    <w:p w:rsidR="00B90FA6" w:rsidRPr="009B2563" w:rsidRDefault="00B90FA6" w:rsidP="00B90FA6">
      <w:pPr>
        <w:widowControl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privind aprobarea scutirii de la plata majorărilor de întârziere </w:t>
      </w:r>
      <w:proofErr w:type="spellStart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ş</w:t>
      </w:r>
      <w:r w:rsidR="00047B62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i</w:t>
      </w:r>
      <w:proofErr w:type="spellEnd"/>
      <w:r w:rsidR="00047B62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penalităților aferente obligaț</w:t>
      </w: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iilor bugetare constând în i</w:t>
      </w:r>
      <w:r w:rsidR="00047B62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mpozite </w:t>
      </w:r>
      <w:proofErr w:type="spellStart"/>
      <w:r w:rsidR="00047B62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şi</w:t>
      </w:r>
      <w:proofErr w:type="spellEnd"/>
      <w:r w:rsidR="00047B62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taxe locale, redevențe, chirii ș</w:t>
      </w: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i alte venituri datorate bugetului local de către persoanele fizice de pe raza administrativ-teritorială a</w:t>
      </w:r>
    </w:p>
    <w:p w:rsidR="00B90FA6" w:rsidRPr="009B2563" w:rsidRDefault="00B90FA6" w:rsidP="00B90FA6">
      <w:pPr>
        <w:widowControl w:val="0"/>
        <w:spacing w:after="300" w:line="254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municipiului DEJ</w:t>
      </w:r>
    </w:p>
    <w:p w:rsidR="00B90FA6" w:rsidRPr="009B2563" w:rsidRDefault="00B90FA6" w:rsidP="00B90FA6">
      <w:pPr>
        <w:widowControl w:val="0"/>
        <w:numPr>
          <w:ilvl w:val="0"/>
          <w:numId w:val="1"/>
        </w:numPr>
        <w:tabs>
          <w:tab w:val="left" w:pos="802"/>
        </w:tabs>
        <w:spacing w:after="219" w:line="180" w:lineRule="exact"/>
        <w:ind w:left="20" w:firstLine="46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Dispozi</w:t>
      </w:r>
      <w:r w:rsidR="00047B62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ț</w:t>
      </w: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ii generale</w:t>
      </w:r>
    </w:p>
    <w:p w:rsidR="00B90FA6" w:rsidRPr="009B2563" w:rsidRDefault="00B90FA6" w:rsidP="00B90FA6">
      <w:pPr>
        <w:widowControl w:val="0"/>
        <w:numPr>
          <w:ilvl w:val="0"/>
          <w:numId w:val="2"/>
        </w:numPr>
        <w:tabs>
          <w:tab w:val="left" w:pos="1071"/>
        </w:tabs>
        <w:spacing w:after="0" w:line="254" w:lineRule="exact"/>
        <w:ind w:left="20" w:right="40" w:firstLine="4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Prezenta procedură se aplică persoanelor fizice care, la data intrării în vigoare a prezentei procedu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ri, datorează majorări/penalităț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i de întârziere bugetului local al municipiului Dej pentru neachitarea impozitelor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tax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elor locale, chiriilor, redevențelor și altor obligaț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ii la bugetul local, calculate în limita termenului de prescrip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ie prevăzut de actele normative în vigoare.</w:t>
      </w:r>
    </w:p>
    <w:p w:rsidR="00B90FA6" w:rsidRPr="009B2563" w:rsidRDefault="00B90FA6" w:rsidP="00B90FA6">
      <w:pPr>
        <w:widowControl w:val="0"/>
        <w:numPr>
          <w:ilvl w:val="0"/>
          <w:numId w:val="2"/>
        </w:numPr>
        <w:tabs>
          <w:tab w:val="left" w:pos="1023"/>
        </w:tabs>
        <w:spacing w:after="300" w:line="254" w:lineRule="exact"/>
        <w:ind w:left="20" w:right="40" w:firstLine="4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Prezenta procedură se aplică pe raza administrativ-teritorială a municipiului Dej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va fi adoptată prin hotărâre a consiliului.</w:t>
      </w:r>
    </w:p>
    <w:p w:rsidR="00B90FA6" w:rsidRPr="009B2563" w:rsidRDefault="00B90FA6" w:rsidP="00B90FA6">
      <w:pPr>
        <w:widowControl w:val="0"/>
        <w:numPr>
          <w:ilvl w:val="0"/>
          <w:numId w:val="1"/>
        </w:numPr>
        <w:tabs>
          <w:tab w:val="left" w:pos="816"/>
        </w:tabs>
        <w:spacing w:after="220" w:line="180" w:lineRule="exact"/>
        <w:ind w:left="20" w:firstLine="46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Obiectivul </w:t>
      </w:r>
      <w:proofErr w:type="spellStart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şi</w:t>
      </w:r>
      <w:proofErr w:type="spellEnd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scopul procedurii</w:t>
      </w:r>
    </w:p>
    <w:p w:rsidR="00B90FA6" w:rsidRPr="009B2563" w:rsidRDefault="00B90FA6" w:rsidP="00B90FA6">
      <w:pPr>
        <w:widowControl w:val="0"/>
        <w:spacing w:after="483" w:line="259" w:lineRule="exact"/>
        <w:ind w:left="20" w:right="40" w:firstLine="4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Este reprezentat de atragerea de venituri cu celer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itate la bugetul local, precum ș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 de r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espectarea principiului egalităț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ii de tratament, respectiv stabilirea în mod n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ediscriminatoriu a criteriilor ș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 mij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loacelor de acordare a facilităț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ilor fiscale persoanelor fizice.</w:t>
      </w:r>
    </w:p>
    <w:p w:rsidR="00B90FA6" w:rsidRPr="009B2563" w:rsidRDefault="00B90FA6" w:rsidP="00B90FA6">
      <w:pPr>
        <w:widowControl w:val="0"/>
        <w:numPr>
          <w:ilvl w:val="0"/>
          <w:numId w:val="1"/>
        </w:numPr>
        <w:tabs>
          <w:tab w:val="left" w:pos="826"/>
        </w:tabs>
        <w:spacing w:after="216" w:line="180" w:lineRule="exact"/>
        <w:ind w:left="20" w:firstLine="46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Durata aplicării procedurii</w:t>
      </w:r>
    </w:p>
    <w:p w:rsidR="00B90FA6" w:rsidRPr="009B2563" w:rsidRDefault="00B90FA6" w:rsidP="00B90FA6">
      <w:pPr>
        <w:widowControl w:val="0"/>
        <w:spacing w:after="307" w:line="264" w:lineRule="exact"/>
        <w:ind w:left="20" w:right="40" w:firstLine="4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Prezenta procedură se </w:t>
      </w:r>
      <w:r w:rsidR="00953237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aplică de la data adoptării hotărârii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până la data de 30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.1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1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.20</w:t>
      </w:r>
      <w:r w:rsidR="00953237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2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1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, scutirea operând p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entru majorările/penalitățile aferente obligaț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iilor prin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cipale stinse până la data de 30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.1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1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.20</w:t>
      </w:r>
      <w:r w:rsidR="00953237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2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1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</w:t>
      </w:r>
    </w:p>
    <w:p w:rsidR="00B90FA6" w:rsidRPr="009B2563" w:rsidRDefault="00B90FA6" w:rsidP="00B90FA6">
      <w:pPr>
        <w:widowControl w:val="0"/>
        <w:numPr>
          <w:ilvl w:val="0"/>
          <w:numId w:val="1"/>
        </w:numPr>
        <w:tabs>
          <w:tab w:val="left" w:pos="811"/>
        </w:tabs>
        <w:spacing w:after="221" w:line="180" w:lineRule="exact"/>
        <w:ind w:left="20" w:firstLine="46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noProof/>
          <w:spacing w:val="10"/>
          <w:sz w:val="24"/>
          <w:szCs w:val="24"/>
          <w:lang w:eastAsia="ro-RO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06D4EDD" wp14:editId="0C776714">
                <wp:simplePos x="0" y="0"/>
                <wp:positionH relativeFrom="margin">
                  <wp:posOffset>4038600</wp:posOffset>
                </wp:positionH>
                <wp:positionV relativeFrom="paragraph">
                  <wp:posOffset>320040</wp:posOffset>
                </wp:positionV>
                <wp:extent cx="1377950" cy="170815"/>
                <wp:effectExtent l="0" t="0" r="1270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FA6" w:rsidRDefault="00B90FA6" w:rsidP="00B90FA6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D4E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pt;margin-top:25.2pt;width:108.5pt;height:13.4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paqgIAAKk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" filled="f" stroked="f">
                <v:textbox style="mso-fit-shape-to-text:t" inset="0,0,0,0">
                  <w:txbxContent>
                    <w:p w:rsidR="00B90FA6" w:rsidRDefault="00B90FA6" w:rsidP="00B90FA6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spacing w:val="1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7B62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Condiț</w:t>
      </w: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ii de eligibilitate a procedurii</w:t>
      </w:r>
    </w:p>
    <w:p w:rsidR="009B2563" w:rsidRPr="009B2563" w:rsidRDefault="00B90FA6" w:rsidP="009B2563">
      <w:pPr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Scutirile ce vor fi acordate p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rin prezenta procedură sunt </w:t>
      </w:r>
      <w:r w:rsidR="007B7B90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prevăzute 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de </w:t>
      </w:r>
      <w:r w:rsidR="007B7B90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Legea 207/2015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, </w:t>
      </w:r>
      <w:r w:rsidR="009B2563" w:rsidRPr="009B2563">
        <w:rPr>
          <w:rFonts w:ascii="Times New Roman" w:hAnsi="Times New Roman" w:cs="Times New Roman"/>
          <w:sz w:val="24"/>
          <w:szCs w:val="24"/>
        </w:rPr>
        <w:t xml:space="preserve">privind Codul de Procedură </w:t>
      </w:r>
      <w:r w:rsidR="00553CD2" w:rsidRPr="009B2563">
        <w:rPr>
          <w:rFonts w:ascii="Times New Roman" w:hAnsi="Times New Roman" w:cs="Times New Roman"/>
          <w:sz w:val="24"/>
          <w:szCs w:val="24"/>
        </w:rPr>
        <w:t xml:space="preserve">Fiscală, cu modificările și completările ulterioare, 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î</w:t>
      </w:r>
      <w:r w:rsidR="007B7B90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n cuprinsul art. 185 alin. (1</w:t>
      </w:r>
      <w:r w:rsidR="004B275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)</w:t>
      </w:r>
      <w:r w:rsidR="007B7B90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lit. b,</w:t>
      </w:r>
      <w:r w:rsidR="004B275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respect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iv scutiri de majorări/penalităț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 de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întârziere reprezentând obligații bugetare. </w:t>
      </w:r>
    </w:p>
    <w:p w:rsidR="00B90FA6" w:rsidRPr="009B2563" w:rsidRDefault="00B90FA6" w:rsidP="009B2563">
      <w:pPr>
        <w:ind w:firstLine="708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lastRenderedPageBreak/>
        <w:t>Scutirea se aplică majorărilor/</w:t>
      </w:r>
      <w:proofErr w:type="spellStart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penalităţilor</w:t>
      </w:r>
      <w:proofErr w:type="spellEnd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aferente </w:t>
      </w:r>
      <w:proofErr w:type="spellStart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obligaţiilor</w:t>
      </w:r>
      <w:proofErr w:type="spellEnd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prin</w:t>
      </w:r>
      <w:r w:rsidR="00953237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cipale stinse până la </w:t>
      </w:r>
      <w:r w:rsidR="009B2563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data de 30</w:t>
      </w: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.1</w:t>
      </w:r>
      <w:r w:rsidR="009B2563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1</w:t>
      </w: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.20</w:t>
      </w:r>
      <w:r w:rsidR="00953237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2</w:t>
      </w:r>
      <w:r w:rsidR="009B2563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1</w:t>
      </w: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</w:t>
      </w:r>
    </w:p>
    <w:p w:rsidR="00B90FA6" w:rsidRPr="009B2563" w:rsidRDefault="00B90FA6" w:rsidP="00B90FA6">
      <w:pPr>
        <w:widowControl w:val="0"/>
        <w:numPr>
          <w:ilvl w:val="0"/>
          <w:numId w:val="4"/>
        </w:numPr>
        <w:tabs>
          <w:tab w:val="left" w:pos="375"/>
        </w:tabs>
        <w:spacing w:after="240" w:line="254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Pot beneficia de scutirile prevăzute în prezenta procedură persoanele fizice care îndeplinesc cumulativ următoarele </w:t>
      </w:r>
      <w:r w:rsidR="0040192B" w:rsidRPr="009B256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o-RO"/>
        </w:rPr>
        <w:t>condiț</w:t>
      </w:r>
      <w:r w:rsidRPr="009B256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o-RO"/>
        </w:rPr>
        <w:t>ii:</w:t>
      </w:r>
    </w:p>
    <w:p w:rsidR="00B90FA6" w:rsidRPr="009B2563" w:rsidRDefault="00B90FA6" w:rsidP="00B90FA6">
      <w:pPr>
        <w:widowControl w:val="0"/>
        <w:numPr>
          <w:ilvl w:val="0"/>
          <w:numId w:val="5"/>
        </w:numPr>
        <w:tabs>
          <w:tab w:val="left" w:pos="673"/>
        </w:tabs>
        <w:spacing w:after="0" w:line="254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Plăt</w:t>
      </w:r>
      <w:r w:rsidR="009B2563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esc integral, până la data de 30</w:t>
      </w: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.1</w:t>
      </w:r>
      <w:r w:rsidR="009B2563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1</w:t>
      </w: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.20</w:t>
      </w:r>
      <w:r w:rsidR="00B172A6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2</w:t>
      </w:r>
      <w:r w:rsidR="009B2563"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1</w:t>
      </w: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, </w:t>
      </w:r>
      <w:proofErr w:type="spellStart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obligaţiile</w:t>
      </w:r>
      <w:proofErr w:type="spellEnd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principale constând în impozite, taxe, chirii, </w:t>
      </w:r>
      <w:proofErr w:type="spellStart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redevenţe</w:t>
      </w:r>
      <w:proofErr w:type="spellEnd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</w:t>
      </w:r>
      <w:proofErr w:type="spellStart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şi</w:t>
      </w:r>
      <w:proofErr w:type="spellEnd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alte </w:t>
      </w:r>
      <w:proofErr w:type="spellStart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obligaţii</w:t>
      </w:r>
      <w:proofErr w:type="spellEnd"/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datorate bugetului local al municipiului Dej;</w:t>
      </w:r>
    </w:p>
    <w:p w:rsidR="00B90FA6" w:rsidRPr="00B25843" w:rsidRDefault="00B25843" w:rsidP="00B25843">
      <w:pPr>
        <w:pStyle w:val="Listparagraf"/>
        <w:widowControl w:val="0"/>
        <w:numPr>
          <w:ilvl w:val="0"/>
          <w:numId w:val="5"/>
        </w:numPr>
        <w:tabs>
          <w:tab w:val="left" w:pos="605"/>
        </w:tabs>
        <w:spacing w:after="219" w:line="180" w:lineRule="exact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258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D</w:t>
      </w:r>
      <w:r w:rsidR="00B90FA6" w:rsidRPr="00B258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epun cerere până la data de </w:t>
      </w:r>
      <w:r w:rsidR="009B2563" w:rsidRPr="00B258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30</w:t>
      </w:r>
      <w:r w:rsidR="00B90FA6" w:rsidRPr="00B258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.1</w:t>
      </w:r>
      <w:r w:rsidR="009B2563" w:rsidRPr="00B258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1</w:t>
      </w:r>
      <w:r w:rsidR="00B90FA6" w:rsidRPr="00B258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.20</w:t>
      </w:r>
      <w:r w:rsidR="00B172A6" w:rsidRPr="00B258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2</w:t>
      </w:r>
      <w:r w:rsidR="009B2563" w:rsidRPr="00B258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1</w:t>
      </w:r>
      <w:r w:rsidR="00B90FA6" w:rsidRPr="00B258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pentru a beneficia de aceste </w:t>
      </w:r>
      <w:proofErr w:type="spellStart"/>
      <w:r w:rsidR="00B90FA6" w:rsidRPr="00B258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facilităţi</w:t>
      </w:r>
      <w:proofErr w:type="spellEnd"/>
      <w:r w:rsidR="00B90FA6" w:rsidRPr="00B258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</w:t>
      </w:r>
    </w:p>
    <w:p w:rsidR="00B90FA6" w:rsidRPr="009B2563" w:rsidRDefault="00B90FA6" w:rsidP="00B90FA6">
      <w:pPr>
        <w:widowControl w:val="0"/>
        <w:numPr>
          <w:ilvl w:val="0"/>
          <w:numId w:val="4"/>
        </w:numPr>
        <w:tabs>
          <w:tab w:val="left" w:pos="447"/>
        </w:tabs>
        <w:spacing w:after="300" w:line="254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Dacă persoanele fizice au mai multe tipuri de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obligaţii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la bugetul local al municipiului Dej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fac plata integrală numai pentru un anumit impozit, taxă, chirie,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redevenţă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sau alt venit la bugetul local, prezenta procedură de scutire de la plată se va aplica, în mod corespunzător, numai pentru majorările/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penalităţile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de întârziere, aferente respectivului impozit local/taxă locală, chirie,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redevenţă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sau alt venit bugetar.</w:t>
      </w:r>
    </w:p>
    <w:p w:rsidR="00B90FA6" w:rsidRPr="009B2563" w:rsidRDefault="00B90FA6" w:rsidP="00B90FA6">
      <w:pPr>
        <w:widowControl w:val="0"/>
        <w:numPr>
          <w:ilvl w:val="0"/>
          <w:numId w:val="1"/>
        </w:numPr>
        <w:tabs>
          <w:tab w:val="left" w:pos="701"/>
        </w:tabs>
        <w:spacing w:after="215" w:line="180" w:lineRule="exact"/>
        <w:ind w:left="20" w:firstLine="34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Modalitatea de implementare a procedurii</w:t>
      </w:r>
    </w:p>
    <w:p w:rsidR="00B90FA6" w:rsidRPr="009B2563" w:rsidRDefault="00B90FA6" w:rsidP="00B90FA6">
      <w:pPr>
        <w:widowControl w:val="0"/>
        <w:numPr>
          <w:ilvl w:val="0"/>
          <w:numId w:val="6"/>
        </w:numPr>
        <w:tabs>
          <w:tab w:val="left" w:pos="351"/>
        </w:tabs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Pentru a 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beneficia de scutire, solicitanț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ii înregistrează la  registratura Municipiului Dej, respectiv vor depune cererea înregistrată la 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Serviciul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impozite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taxe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– urmărire </w:t>
      </w:r>
      <w:proofErr w:type="spellStart"/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șii</w:t>
      </w:r>
      <w:proofErr w:type="spellEnd"/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executare creanțe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, până la data de 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30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.1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1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.20</w:t>
      </w:r>
      <w:r w:rsidR="00B172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2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1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inclusiv.</w:t>
      </w:r>
    </w:p>
    <w:p w:rsidR="00B90FA6" w:rsidRPr="009B2563" w:rsidRDefault="00B90FA6" w:rsidP="00B90FA6">
      <w:pPr>
        <w:widowControl w:val="0"/>
        <w:numPr>
          <w:ilvl w:val="0"/>
          <w:numId w:val="6"/>
        </w:numPr>
        <w:tabs>
          <w:tab w:val="left" w:pos="500"/>
        </w:tabs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Cuantumul scutirii pentru fiecare beneficiar este reprezentat de cuantumul majorărilor/penalit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ăț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ilor de întârziere aferente impozitului, taxei, chiriei, redeven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ei sau altui venit Ia bugetul local, achitat integral, în condi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iile prezentei proceduri.</w:t>
      </w:r>
    </w:p>
    <w:p w:rsidR="00B90FA6" w:rsidRPr="009B2563" w:rsidRDefault="00B90FA6" w:rsidP="00B90FA6">
      <w:pPr>
        <w:widowControl w:val="0"/>
        <w:numPr>
          <w:ilvl w:val="0"/>
          <w:numId w:val="6"/>
        </w:numPr>
        <w:tabs>
          <w:tab w:val="left" w:pos="418"/>
        </w:tabs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Cererea privind scutirea d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 la plata majorărilor/penalităț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ilor de întârziere aferente impozitelor, tax</w:t>
      </w:r>
      <w:r w:rsidR="00047B62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elor locale, chiriilor, redevenț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elor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altor venituri la bugetul local va fi analizată în termen de 30 de zile de la data 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înregistrării ei de către serviciul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d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e specialitate 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iar în urma analizei efectuate, va fi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întocmit un referat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, care va fi supus spre aprobare primarului municipiului Dej, fără a mai fi necesară aprobarea fiecărei cereri prin hotărâre de consiliu. În baza referatului de acordare/neacordare, va fi emisă de către 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Serviciul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impozite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taxe 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– urmărire și executare creanțe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,</w:t>
      </w:r>
      <w:r w:rsidR="009B2563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Decizia privind acordarea/neacordarea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facilităţii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</w:t>
      </w:r>
    </w:p>
    <w:p w:rsidR="00B90FA6" w:rsidRPr="009B2563" w:rsidRDefault="00B90FA6" w:rsidP="00B90FA6">
      <w:pPr>
        <w:widowControl w:val="0"/>
        <w:numPr>
          <w:ilvl w:val="0"/>
          <w:numId w:val="6"/>
        </w:numPr>
        <w:tabs>
          <w:tab w:val="left" w:pos="332"/>
        </w:tabs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Operarea efectivă a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facilităţilor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acordate va fi efectuată în baza referatului aprobat de către primarul municipiului Dej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a deciziei de calcul a majorărilor/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penalităţilor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de întârziere aferente impozitelor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taxelor, chiriilor,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redevenţelor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sau altor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obligaţii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datorate bugetului local al municipiului Dej pentru care sunt îndeplinite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condiţiile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prevăzute de prezenta procedură, după care vor fi scăzute din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evidenţele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fiscale/nefiscale, despre acest lucru fiind </w:t>
      </w:r>
      <w:proofErr w:type="spellStart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înştiinţat</w:t>
      </w:r>
      <w:proofErr w:type="spellEnd"/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titularul cererii.</w:t>
      </w:r>
    </w:p>
    <w:p w:rsidR="00B90FA6" w:rsidRPr="009B2563" w:rsidRDefault="009B2563" w:rsidP="00B90FA6">
      <w:pPr>
        <w:widowControl w:val="0"/>
        <w:tabs>
          <w:tab w:val="left" w:pos="375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ab/>
        <w:t>Serviciul</w:t>
      </w:r>
      <w:r w:rsidR="00B90F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de specialitate, verifică: îndeplinirea </w:t>
      </w:r>
      <w:proofErr w:type="spellStart"/>
      <w:r w:rsidR="00B90F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condiţiei</w:t>
      </w:r>
      <w:proofErr w:type="spellEnd"/>
      <w:r w:rsidR="00B90F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privind achitarea integrală, la data solicitării, a impozitelor </w:t>
      </w:r>
      <w:proofErr w:type="spellStart"/>
      <w:r w:rsidR="00B90F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="00B90F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taxelor locale, chiriilor, </w:t>
      </w:r>
      <w:proofErr w:type="spellStart"/>
      <w:r w:rsidR="00B90F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redevenţelor</w:t>
      </w:r>
      <w:proofErr w:type="spellEnd"/>
      <w:r w:rsidR="00B90F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si altor </w:t>
      </w:r>
      <w:proofErr w:type="spellStart"/>
      <w:r w:rsidR="00B90F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obligaţii</w:t>
      </w:r>
      <w:proofErr w:type="spellEnd"/>
      <w:r w:rsidR="00B90F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datorate bugetului local al municipiului Dej, pentru care se solicită scutirea, precum </w:t>
      </w:r>
      <w:proofErr w:type="spellStart"/>
      <w:r w:rsidR="00B90F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="00B90FA6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respectarea oricărei altei prevederi a prezentei proceduri.</w:t>
      </w:r>
    </w:p>
    <w:p w:rsidR="00B90FA6" w:rsidRPr="009B2563" w:rsidRDefault="00B90FA6" w:rsidP="00B90FA6">
      <w:pPr>
        <w:widowControl w:val="0"/>
        <w:numPr>
          <w:ilvl w:val="0"/>
          <w:numId w:val="6"/>
        </w:numPr>
        <w:tabs>
          <w:tab w:val="left" w:pos="356"/>
        </w:tabs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în cazul în care persoanele fizice nu s</w:t>
      </w:r>
      <w:r w:rsidR="0040192B"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unt eligibile raportat la condiț</w:t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iile prezentei proceduri, serviciul de specialitate le comunică în scris acest lucru.</w:t>
      </w:r>
    </w:p>
    <w:p w:rsidR="00B90FA6" w:rsidRPr="009B2563" w:rsidRDefault="00B90FA6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</w:p>
    <w:p w:rsidR="00B90FA6" w:rsidRPr="009B2563" w:rsidRDefault="00B90FA6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</w:p>
    <w:p w:rsidR="00B25843" w:rsidRDefault="00B90FA6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ab/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ab/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ab/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ab/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ab/>
      </w:r>
      <w:r w:rsidRPr="009B2563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ab/>
      </w:r>
      <w:r w:rsidR="00DF2DC0" w:rsidRPr="009B256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>Ș</w:t>
      </w:r>
      <w:r w:rsidR="00B2584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>ef Serviciu</w:t>
      </w:r>
    </w:p>
    <w:p w:rsidR="00DF2DC0" w:rsidRPr="009B2563" w:rsidRDefault="00DF2DC0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 xml:space="preserve"> </w:t>
      </w:r>
      <w:r w:rsidR="00B2584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 xml:space="preserve">                                          </w:t>
      </w:r>
      <w:bookmarkStart w:id="0" w:name="_GoBack"/>
      <w:bookmarkEnd w:id="0"/>
      <w:r w:rsidRPr="009B256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 xml:space="preserve">  ec. Marius Bogdan</w:t>
      </w:r>
    </w:p>
    <w:p w:rsidR="00DF2DC0" w:rsidRPr="009B2563" w:rsidRDefault="00DF2DC0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</w:pPr>
    </w:p>
    <w:p w:rsidR="002B0586" w:rsidRPr="009B2563" w:rsidRDefault="00B90FA6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9B256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ab/>
      </w:r>
      <w:r w:rsidRPr="009B256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ab/>
      </w:r>
      <w:r w:rsidRPr="009B256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ab/>
      </w:r>
      <w:r w:rsidRPr="009B256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ab/>
      </w:r>
      <w:r w:rsidRPr="009B256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ab/>
      </w:r>
    </w:p>
    <w:sectPr w:rsidR="002B0586" w:rsidRPr="009B2563" w:rsidSect="00B90FA6">
      <w:pgSz w:w="12240" w:h="15840"/>
      <w:pgMar w:top="479" w:right="1814" w:bottom="1521" w:left="18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17D"/>
    <w:multiLevelType w:val="multilevel"/>
    <w:tmpl w:val="167254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86BDE"/>
    <w:multiLevelType w:val="multilevel"/>
    <w:tmpl w:val="C254B00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867FDF"/>
    <w:multiLevelType w:val="multilevel"/>
    <w:tmpl w:val="C6F675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0B7441"/>
    <w:multiLevelType w:val="multilevel"/>
    <w:tmpl w:val="632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45471C"/>
    <w:multiLevelType w:val="multilevel"/>
    <w:tmpl w:val="946C9C9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5828BE"/>
    <w:multiLevelType w:val="multilevel"/>
    <w:tmpl w:val="7E32E5A4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A6"/>
    <w:rsid w:val="00020F52"/>
    <w:rsid w:val="00024703"/>
    <w:rsid w:val="000409FF"/>
    <w:rsid w:val="00040AD3"/>
    <w:rsid w:val="0004304E"/>
    <w:rsid w:val="000456B6"/>
    <w:rsid w:val="00047B62"/>
    <w:rsid w:val="0005456E"/>
    <w:rsid w:val="00064CE1"/>
    <w:rsid w:val="000833DE"/>
    <w:rsid w:val="000A44B0"/>
    <w:rsid w:val="000A58BC"/>
    <w:rsid w:val="000C177F"/>
    <w:rsid w:val="000C55B9"/>
    <w:rsid w:val="000D25BA"/>
    <w:rsid w:val="0010448C"/>
    <w:rsid w:val="00111DCE"/>
    <w:rsid w:val="00207C44"/>
    <w:rsid w:val="00222669"/>
    <w:rsid w:val="00224EDB"/>
    <w:rsid w:val="00234A7A"/>
    <w:rsid w:val="00245FC0"/>
    <w:rsid w:val="002502D3"/>
    <w:rsid w:val="002A2E8F"/>
    <w:rsid w:val="002A5F16"/>
    <w:rsid w:val="002A7A1A"/>
    <w:rsid w:val="002B0586"/>
    <w:rsid w:val="002C386A"/>
    <w:rsid w:val="002C678D"/>
    <w:rsid w:val="002D6410"/>
    <w:rsid w:val="002D76C8"/>
    <w:rsid w:val="002E7B04"/>
    <w:rsid w:val="0030348A"/>
    <w:rsid w:val="0032054D"/>
    <w:rsid w:val="00320EB5"/>
    <w:rsid w:val="003240FB"/>
    <w:rsid w:val="00325972"/>
    <w:rsid w:val="00334F2B"/>
    <w:rsid w:val="00347095"/>
    <w:rsid w:val="00357DD0"/>
    <w:rsid w:val="00361B83"/>
    <w:rsid w:val="00380521"/>
    <w:rsid w:val="00386824"/>
    <w:rsid w:val="003E2B41"/>
    <w:rsid w:val="003E4519"/>
    <w:rsid w:val="00400FC3"/>
    <w:rsid w:val="0040192B"/>
    <w:rsid w:val="00406AE7"/>
    <w:rsid w:val="004158F2"/>
    <w:rsid w:val="004503E7"/>
    <w:rsid w:val="00485DD5"/>
    <w:rsid w:val="00490991"/>
    <w:rsid w:val="004A79D3"/>
    <w:rsid w:val="004B2752"/>
    <w:rsid w:val="004F6A00"/>
    <w:rsid w:val="00511226"/>
    <w:rsid w:val="00521385"/>
    <w:rsid w:val="00531C63"/>
    <w:rsid w:val="0053258B"/>
    <w:rsid w:val="0053631B"/>
    <w:rsid w:val="0054100A"/>
    <w:rsid w:val="00552B16"/>
    <w:rsid w:val="00553CD2"/>
    <w:rsid w:val="00561223"/>
    <w:rsid w:val="00563691"/>
    <w:rsid w:val="0056527F"/>
    <w:rsid w:val="00573A22"/>
    <w:rsid w:val="005A6716"/>
    <w:rsid w:val="005B2811"/>
    <w:rsid w:val="005B69F9"/>
    <w:rsid w:val="005D5E9B"/>
    <w:rsid w:val="005D7101"/>
    <w:rsid w:val="005F77EE"/>
    <w:rsid w:val="00603BE1"/>
    <w:rsid w:val="00627A1B"/>
    <w:rsid w:val="00650D26"/>
    <w:rsid w:val="0066162D"/>
    <w:rsid w:val="0066572F"/>
    <w:rsid w:val="006843C3"/>
    <w:rsid w:val="00685A01"/>
    <w:rsid w:val="006A2ADA"/>
    <w:rsid w:val="006C402D"/>
    <w:rsid w:val="006D0BCE"/>
    <w:rsid w:val="006D4850"/>
    <w:rsid w:val="0072431B"/>
    <w:rsid w:val="00731576"/>
    <w:rsid w:val="00742BE7"/>
    <w:rsid w:val="00761E66"/>
    <w:rsid w:val="007759B5"/>
    <w:rsid w:val="007766B2"/>
    <w:rsid w:val="00785E27"/>
    <w:rsid w:val="007901C2"/>
    <w:rsid w:val="00793DAA"/>
    <w:rsid w:val="007A28DE"/>
    <w:rsid w:val="007B7B90"/>
    <w:rsid w:val="007C09F9"/>
    <w:rsid w:val="007C4BEA"/>
    <w:rsid w:val="007D7516"/>
    <w:rsid w:val="00804E6B"/>
    <w:rsid w:val="00815ECB"/>
    <w:rsid w:val="00861425"/>
    <w:rsid w:val="008916DA"/>
    <w:rsid w:val="008C2B4B"/>
    <w:rsid w:val="008C405F"/>
    <w:rsid w:val="008C54CB"/>
    <w:rsid w:val="008D3D56"/>
    <w:rsid w:val="008E73CF"/>
    <w:rsid w:val="009003E8"/>
    <w:rsid w:val="00945BE2"/>
    <w:rsid w:val="00953237"/>
    <w:rsid w:val="0096162A"/>
    <w:rsid w:val="00987976"/>
    <w:rsid w:val="009B2563"/>
    <w:rsid w:val="009D3DA2"/>
    <w:rsid w:val="009D4FE5"/>
    <w:rsid w:val="009F03D8"/>
    <w:rsid w:val="00A1330D"/>
    <w:rsid w:val="00A17EF6"/>
    <w:rsid w:val="00A3427B"/>
    <w:rsid w:val="00A40029"/>
    <w:rsid w:val="00A456A7"/>
    <w:rsid w:val="00A540AC"/>
    <w:rsid w:val="00A54432"/>
    <w:rsid w:val="00A5700E"/>
    <w:rsid w:val="00A6288B"/>
    <w:rsid w:val="00A80219"/>
    <w:rsid w:val="00A823C4"/>
    <w:rsid w:val="00A948CC"/>
    <w:rsid w:val="00AC5D62"/>
    <w:rsid w:val="00AD2C3F"/>
    <w:rsid w:val="00AE6222"/>
    <w:rsid w:val="00AF2157"/>
    <w:rsid w:val="00AF4364"/>
    <w:rsid w:val="00AF4D25"/>
    <w:rsid w:val="00B01DA1"/>
    <w:rsid w:val="00B172A6"/>
    <w:rsid w:val="00B25843"/>
    <w:rsid w:val="00B47AFB"/>
    <w:rsid w:val="00B74B7D"/>
    <w:rsid w:val="00B8357C"/>
    <w:rsid w:val="00B90FA6"/>
    <w:rsid w:val="00BA0E14"/>
    <w:rsid w:val="00BB2AAA"/>
    <w:rsid w:val="00BC0FCE"/>
    <w:rsid w:val="00BE1D18"/>
    <w:rsid w:val="00BF0B9D"/>
    <w:rsid w:val="00C00A28"/>
    <w:rsid w:val="00C144DD"/>
    <w:rsid w:val="00C27C1F"/>
    <w:rsid w:val="00C80FBD"/>
    <w:rsid w:val="00C83C2C"/>
    <w:rsid w:val="00C86B6A"/>
    <w:rsid w:val="00C97B31"/>
    <w:rsid w:val="00CA14FC"/>
    <w:rsid w:val="00CB2AD6"/>
    <w:rsid w:val="00CD515B"/>
    <w:rsid w:val="00CF0D06"/>
    <w:rsid w:val="00D140DF"/>
    <w:rsid w:val="00D17109"/>
    <w:rsid w:val="00D53F47"/>
    <w:rsid w:val="00D724F8"/>
    <w:rsid w:val="00D74053"/>
    <w:rsid w:val="00D76572"/>
    <w:rsid w:val="00D86381"/>
    <w:rsid w:val="00D91F33"/>
    <w:rsid w:val="00DA1F41"/>
    <w:rsid w:val="00DC716D"/>
    <w:rsid w:val="00DE4D1D"/>
    <w:rsid w:val="00DF2DC0"/>
    <w:rsid w:val="00DF4601"/>
    <w:rsid w:val="00E20A64"/>
    <w:rsid w:val="00E463D7"/>
    <w:rsid w:val="00E87790"/>
    <w:rsid w:val="00E9041B"/>
    <w:rsid w:val="00EC0912"/>
    <w:rsid w:val="00ED1A64"/>
    <w:rsid w:val="00EF53E9"/>
    <w:rsid w:val="00EF71A6"/>
    <w:rsid w:val="00F166D6"/>
    <w:rsid w:val="00F17135"/>
    <w:rsid w:val="00F226A5"/>
    <w:rsid w:val="00F3191D"/>
    <w:rsid w:val="00F37EB1"/>
    <w:rsid w:val="00F47180"/>
    <w:rsid w:val="00F47ECA"/>
    <w:rsid w:val="00F5739D"/>
    <w:rsid w:val="00F73F08"/>
    <w:rsid w:val="00F92130"/>
    <w:rsid w:val="00FA76E8"/>
    <w:rsid w:val="00FB5270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F372-156B-4567-9E7E-30B772B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icturecaptionExact">
    <w:name w:val="Picture caption Exact"/>
    <w:basedOn w:val="Fontdeparagrafimplicit"/>
    <w:link w:val="Picturecaption"/>
    <w:rsid w:val="00B90FA6"/>
    <w:rPr>
      <w:rFonts w:ascii="Times New Roman" w:eastAsia="Times New Roman" w:hAnsi="Times New Roman" w:cs="Times New Roman"/>
      <w:spacing w:val="13"/>
      <w:sz w:val="17"/>
      <w:szCs w:val="17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B90FA6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13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0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92B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2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Marius.Bogdan</cp:lastModifiedBy>
  <cp:revision>3</cp:revision>
  <cp:lastPrinted>2020-07-13T09:04:00Z</cp:lastPrinted>
  <dcterms:created xsi:type="dcterms:W3CDTF">2021-06-24T07:45:00Z</dcterms:created>
  <dcterms:modified xsi:type="dcterms:W3CDTF">2021-06-24T07:57:00Z</dcterms:modified>
</cp:coreProperties>
</file>